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7" w:rsidRDefault="005A2A37" w:rsidP="005A2A37">
      <w:pPr>
        <w:pStyle w:val="ConsPlusNormal"/>
        <w:jc w:val="right"/>
        <w:outlineLvl w:val="1"/>
      </w:pPr>
      <w:r>
        <w:t>Приложение N 5</w:t>
      </w:r>
    </w:p>
    <w:p w:rsidR="005A2A37" w:rsidRDefault="005A2A37" w:rsidP="005A2A37">
      <w:pPr>
        <w:pStyle w:val="ConsPlusNormal"/>
        <w:jc w:val="right"/>
      </w:pPr>
      <w:r>
        <w:t>к Положению об установлении</w:t>
      </w:r>
    </w:p>
    <w:p w:rsidR="005A2A37" w:rsidRDefault="005A2A37" w:rsidP="005A2A37">
      <w:pPr>
        <w:pStyle w:val="ConsPlusNormal"/>
        <w:jc w:val="right"/>
      </w:pPr>
      <w:r>
        <w:t xml:space="preserve">и </w:t>
      </w:r>
      <w:proofErr w:type="gramStart"/>
      <w:r>
        <w:t>применении</w:t>
      </w:r>
      <w:proofErr w:type="gramEnd"/>
      <w:r>
        <w:t xml:space="preserve"> социальной нормы</w:t>
      </w:r>
    </w:p>
    <w:p w:rsidR="005A2A37" w:rsidRDefault="005A2A37" w:rsidP="005A2A37">
      <w:pPr>
        <w:pStyle w:val="ConsPlusNormal"/>
        <w:jc w:val="right"/>
      </w:pPr>
      <w:r>
        <w:t xml:space="preserve">потребления </w:t>
      </w:r>
      <w:proofErr w:type="gramStart"/>
      <w:r>
        <w:t>электрической</w:t>
      </w:r>
      <w:proofErr w:type="gramEnd"/>
    </w:p>
    <w:p w:rsidR="005A2A37" w:rsidRDefault="005A2A37" w:rsidP="005A2A37">
      <w:pPr>
        <w:pStyle w:val="ConsPlusNormal"/>
        <w:jc w:val="right"/>
      </w:pPr>
      <w:r>
        <w:t>энергии (мощности)</w:t>
      </w:r>
    </w:p>
    <w:p w:rsidR="005A2A37" w:rsidRDefault="005A2A37" w:rsidP="005A2A37">
      <w:pPr>
        <w:pStyle w:val="ConsPlusNormal"/>
      </w:pPr>
    </w:p>
    <w:p w:rsidR="005A2A37" w:rsidRDefault="005A2A37" w:rsidP="00441A16">
      <w:pPr>
        <w:pStyle w:val="ConsPlusNormal"/>
        <w:jc w:val="center"/>
        <w:rPr/>
      </w:pPr>
      <w:proofErr w:type="gramStart"/>
      <w:r>
        <w:rPr/>
        <w:t>(в ред. Постановлений Правительства РФ от 25.02.2014 N 136,</w:t>
      </w:r>
      <w:proofErr w:type="gramEnd"/>
    </w:p>
    <w:p w:rsidR="005A2A37" w:rsidRDefault="005A2A37" w:rsidP="00441A16">
      <w:pPr>
        <w:pStyle w:val="ConsPlusNormal"/>
        <w:jc w:val="center"/>
        <w:rPr/>
      </w:pPr>
      <w:r>
        <w:rPr/>
        <w:t>от 21.12.2018 N 1622)</w:t>
      </w:r>
    </w:p>
    <w:p w:rsidR="005A2A37" w:rsidRDefault="005A2A37" w:rsidP="005A2A37">
      <w:pPr>
        <w:pStyle w:val="ConsPlusNormal"/>
        <w:jc w:val="right"/>
      </w:pPr>
    </w:p>
    <w:p w:rsidR="005A2A37" w:rsidRDefault="005A2A37" w:rsidP="005A2A37">
      <w:pPr>
        <w:pStyle w:val="ConsPlusNormal"/>
        <w:jc w:val="right"/>
      </w:pPr>
      <w:r>
        <w:t>(форма)</w:t>
      </w:r>
    </w:p>
    <w:p w:rsidR="005A2A37" w:rsidRDefault="005A2A37" w:rsidP="005A2A37">
      <w:pPr>
        <w:pStyle w:val="ConsPlusNormal"/>
        <w:ind w:firstLine="540"/>
        <w:jc w:val="both"/>
      </w:pPr>
    </w:p>
    <w:p w:rsidR="005A2A37" w:rsidRDefault="005A2A37" w:rsidP="005A2A37">
      <w:pPr>
        <w:pStyle w:val="ConsPlusNormal"/>
        <w:jc w:val="center"/>
      </w:pPr>
      <w:bookmarkStart w:id="0" w:name="Par545"/>
      <w:bookmarkEnd w:id="0"/>
      <w:r>
        <w:t>Социальная норма</w:t>
      </w:r>
    </w:p>
    <w:p w:rsidR="005A2A37" w:rsidRDefault="005A2A37" w:rsidP="005A2A37">
      <w:pPr>
        <w:pStyle w:val="ConsPlusNormal"/>
        <w:jc w:val="center"/>
      </w:pPr>
      <w:r>
        <w:t>потребления электрической энергии (мощности) в отношении</w:t>
      </w:r>
    </w:p>
    <w:p w:rsidR="005A2A37" w:rsidRDefault="005A2A37" w:rsidP="005A2A37">
      <w:pPr>
        <w:pStyle w:val="ConsPlusNormal"/>
        <w:jc w:val="center"/>
      </w:pPr>
      <w:r>
        <w:t>групп домохозяйств и типов жилых помещений в субъекте</w:t>
      </w:r>
    </w:p>
    <w:p w:rsidR="005A2A37" w:rsidRDefault="005A2A37" w:rsidP="005A2A37">
      <w:pPr>
        <w:pStyle w:val="ConsPlusNormal"/>
        <w:jc w:val="center"/>
      </w:pPr>
      <w:r>
        <w:t xml:space="preserve">Российской Федерации </w:t>
      </w:r>
      <w:r>
        <w:rPr/>
        <w:t>&lt;1&gt;</w:t>
      </w:r>
    </w:p>
    <w:p w:rsidR="005A2A37" w:rsidRDefault="005A2A37" w:rsidP="005A2A37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765"/>
        <w:gridCol w:w="1091"/>
        <w:gridCol w:w="1091"/>
        <w:gridCol w:w="1091"/>
        <w:gridCol w:w="1368"/>
        <w:gridCol w:w="1065"/>
      </w:tblGrid>
      <w:tr w:rsidR="005A2A37" w:rsidTr="005A2A37">
        <w:tc>
          <w:tcPr>
            <w:tcW w:w="14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7" w:rsidRDefault="005A2A37" w:rsidP="00441A16">
            <w:pPr>
              <w:pStyle w:val="ConsPlusNormal"/>
              <w:jc w:val="center"/>
            </w:pPr>
            <w:r>
              <w:t>Категория потребителей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7" w:rsidRDefault="005A2A37" w:rsidP="00441A1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7" w:rsidRDefault="005A2A37" w:rsidP="00441A16">
            <w:pPr>
              <w:pStyle w:val="ConsPlusNormal"/>
              <w:jc w:val="center"/>
            </w:pPr>
            <w:r>
              <w:t xml:space="preserve">Социальная норма потребления электрической энергии (мощности) для домохозяйств </w:t>
            </w:r>
            <w:r>
              <w:rPr/>
              <w:t>&lt;2&gt;</w:t>
            </w:r>
          </w:p>
        </w:tc>
      </w:tr>
      <w:tr w:rsidR="005A2A37" w:rsidTr="005A2A37">
        <w:tc>
          <w:tcPr>
            <w:tcW w:w="149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7" w:rsidRDefault="005A2A37" w:rsidP="00441A16">
            <w:pPr>
              <w:pStyle w:val="ConsPlusNormal"/>
              <w:jc w:val="center"/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7" w:rsidRDefault="005A2A37" w:rsidP="00441A16">
            <w:pPr>
              <w:pStyle w:val="ConsPlusNormal"/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7" w:rsidRDefault="005A2A37" w:rsidP="00441A16">
            <w:pPr>
              <w:pStyle w:val="ConsPlusNormal"/>
              <w:jc w:val="center"/>
            </w:pPr>
            <w:r>
              <w:t>первой группы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7" w:rsidRDefault="005A2A37" w:rsidP="00441A16">
            <w:pPr>
              <w:pStyle w:val="ConsPlusNormal"/>
              <w:jc w:val="center"/>
            </w:pPr>
            <w:r>
              <w:t>второй группы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7" w:rsidRDefault="005A2A37" w:rsidP="00441A16">
            <w:pPr>
              <w:pStyle w:val="ConsPlusNormal"/>
              <w:jc w:val="center"/>
            </w:pPr>
            <w:r>
              <w:t>третьей группы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7" w:rsidRDefault="005A2A37" w:rsidP="00441A16">
            <w:pPr>
              <w:pStyle w:val="ConsPlusNormal"/>
              <w:jc w:val="center"/>
            </w:pPr>
            <w:r>
              <w:t>четвертой группы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7" w:rsidRDefault="005A2A37" w:rsidP="00441A16">
            <w:pPr>
              <w:pStyle w:val="ConsPlusNormal"/>
              <w:jc w:val="center"/>
            </w:pPr>
            <w:r>
              <w:t>пятой группы</w:t>
            </w:r>
          </w:p>
        </w:tc>
      </w:tr>
      <w:tr w:rsidR="005A2A37" w:rsidTr="005A2A37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5A2A37" w:rsidRDefault="005A2A37" w:rsidP="00441A16">
            <w:pPr>
              <w:pStyle w:val="ConsPlusNormal"/>
              <w:jc w:val="center"/>
              <w:outlineLvl w:val="2"/>
            </w:pPr>
            <w:r>
              <w:t>1. Жилые помещения в городских населенных пунктах</w:t>
            </w:r>
          </w:p>
        </w:tc>
      </w:tr>
      <w:tr w:rsidR="005A2A37" w:rsidTr="005A2A37">
        <w:tc>
          <w:tcPr>
            <w:tcW w:w="1497" w:type="pct"/>
          </w:tcPr>
          <w:p w:rsidR="005A2A37" w:rsidRDefault="005A2A37" w:rsidP="00441A16">
            <w:pPr>
              <w:pStyle w:val="ConsPlusNormal"/>
            </w:pPr>
            <w:bookmarkStart w:id="1" w:name="_GoBack" w:colFirst="4" w:colLast="4"/>
            <w: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89" w:type="pct"/>
          </w:tcPr>
          <w:p w:rsidR="005A2A37" w:rsidRDefault="005A2A37" w:rsidP="00441A16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670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26" w:type="pct"/>
          </w:tcPr>
          <w:p w:rsidR="005A2A37" w:rsidRDefault="005A2A37" w:rsidP="00441A16">
            <w:pPr>
              <w:pStyle w:val="ConsPlusNormal"/>
            </w:pPr>
          </w:p>
        </w:tc>
      </w:tr>
      <w:bookmarkEnd w:id="1"/>
      <w:tr w:rsidR="005A2A37" w:rsidTr="005A2A37">
        <w:tc>
          <w:tcPr>
            <w:tcW w:w="1497" w:type="pct"/>
          </w:tcPr>
          <w:p w:rsidR="005A2A37" w:rsidRDefault="005A2A37" w:rsidP="00441A16">
            <w:pPr>
              <w:pStyle w:val="ConsPlusNormal"/>
            </w:pPr>
            <w:r>
              <w:t xml:space="preserve"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</w:t>
            </w:r>
            <w:r>
              <w:lastRenderedPageBreak/>
              <w:t>горячего водоснабжения, в аварийном жилищном фонде или жилом фонде со степенью износа 70 процентов и более</w:t>
            </w:r>
          </w:p>
        </w:tc>
        <w:tc>
          <w:tcPr>
            <w:tcW w:w="689" w:type="pct"/>
          </w:tcPr>
          <w:p w:rsidR="005A2A37" w:rsidRDefault="005A2A37" w:rsidP="00441A16">
            <w:pPr>
              <w:pStyle w:val="ConsPlusNormal"/>
            </w:pPr>
            <w:proofErr w:type="spellStart"/>
            <w:r>
              <w:lastRenderedPageBreak/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670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26" w:type="pct"/>
          </w:tcPr>
          <w:p w:rsidR="005A2A37" w:rsidRDefault="005A2A37" w:rsidP="00441A16">
            <w:pPr>
              <w:pStyle w:val="ConsPlusNormal"/>
            </w:pPr>
          </w:p>
        </w:tc>
      </w:tr>
      <w:tr w:rsidR="005A2A37" w:rsidTr="005A2A37">
        <w:tc>
          <w:tcPr>
            <w:tcW w:w="1497" w:type="pct"/>
          </w:tcPr>
          <w:p w:rsidR="005A2A37" w:rsidRDefault="005A2A37" w:rsidP="00441A16">
            <w:pPr>
              <w:pStyle w:val="ConsPlusNormal"/>
            </w:pPr>
            <w:r>
              <w:lastRenderedPageBreak/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89" w:type="pct"/>
          </w:tcPr>
          <w:p w:rsidR="005A2A37" w:rsidRDefault="005A2A37" w:rsidP="00441A16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670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26" w:type="pct"/>
          </w:tcPr>
          <w:p w:rsidR="005A2A37" w:rsidRDefault="005A2A37" w:rsidP="00441A16">
            <w:pPr>
              <w:pStyle w:val="ConsPlusNormal"/>
            </w:pPr>
          </w:p>
        </w:tc>
      </w:tr>
      <w:tr w:rsidR="005A2A37" w:rsidTr="005A2A37">
        <w:tc>
          <w:tcPr>
            <w:tcW w:w="1497" w:type="pct"/>
          </w:tcPr>
          <w:p w:rsidR="005A2A37" w:rsidRDefault="005A2A37" w:rsidP="00441A16">
            <w:pPr>
              <w:pStyle w:val="ConsPlusNormal"/>
            </w:pPr>
            <w: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</w:t>
            </w:r>
          </w:p>
        </w:tc>
        <w:tc>
          <w:tcPr>
            <w:tcW w:w="689" w:type="pct"/>
          </w:tcPr>
          <w:p w:rsidR="005A2A37" w:rsidRDefault="005A2A37" w:rsidP="00441A16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670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26" w:type="pct"/>
          </w:tcPr>
          <w:p w:rsidR="005A2A37" w:rsidRDefault="005A2A37" w:rsidP="00441A16">
            <w:pPr>
              <w:pStyle w:val="ConsPlusNormal"/>
            </w:pPr>
          </w:p>
        </w:tc>
      </w:tr>
      <w:tr w:rsidR="005A2A37" w:rsidTr="005A2A37">
        <w:tc>
          <w:tcPr>
            <w:tcW w:w="1497" w:type="pct"/>
          </w:tcPr>
          <w:p w:rsidR="005A2A37" w:rsidRDefault="005A2A37" w:rsidP="00441A16">
            <w:pPr>
              <w:pStyle w:val="ConsPlusNormal"/>
            </w:pPr>
            <w:r>
              <w:t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 &lt;3&gt;</w:t>
            </w:r>
          </w:p>
        </w:tc>
        <w:tc>
          <w:tcPr>
            <w:tcW w:w="689" w:type="pct"/>
          </w:tcPr>
          <w:p w:rsidR="005A2A37" w:rsidRDefault="005A2A37" w:rsidP="00441A16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670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26" w:type="pct"/>
          </w:tcPr>
          <w:p w:rsidR="005A2A37" w:rsidRDefault="005A2A37" w:rsidP="00441A16">
            <w:pPr>
              <w:pStyle w:val="ConsPlusNormal"/>
            </w:pPr>
          </w:p>
        </w:tc>
      </w:tr>
      <w:tr w:rsidR="005A2A37" w:rsidTr="005A2A37">
        <w:tc>
          <w:tcPr>
            <w:tcW w:w="1497" w:type="pct"/>
          </w:tcPr>
          <w:p w:rsidR="005A2A37" w:rsidRDefault="005A2A37" w:rsidP="00441A16">
            <w:pPr>
              <w:pStyle w:val="ConsPlusNormal"/>
            </w:pPr>
            <w:r>
              <w:t xml:space="preserve">Жилые помещения, оборудованные в </w:t>
            </w:r>
            <w:r>
              <w:lastRenderedPageBreak/>
              <w:t>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689" w:type="pct"/>
          </w:tcPr>
          <w:p w:rsidR="005A2A37" w:rsidRDefault="005A2A37" w:rsidP="00441A16">
            <w:pPr>
              <w:pStyle w:val="ConsPlusNormal"/>
            </w:pPr>
            <w:proofErr w:type="spellStart"/>
            <w:r>
              <w:lastRenderedPageBreak/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</w:t>
            </w:r>
            <w:r>
              <w:lastRenderedPageBreak/>
              <w:t>домохозяйство</w:t>
            </w: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670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26" w:type="pct"/>
          </w:tcPr>
          <w:p w:rsidR="005A2A37" w:rsidRDefault="005A2A37" w:rsidP="00441A16">
            <w:pPr>
              <w:pStyle w:val="ConsPlusNormal"/>
            </w:pPr>
          </w:p>
        </w:tc>
      </w:tr>
      <w:tr w:rsidR="005A2A37" w:rsidTr="005A2A37">
        <w:tc>
          <w:tcPr>
            <w:tcW w:w="5000" w:type="pct"/>
            <w:gridSpan w:val="7"/>
          </w:tcPr>
          <w:p w:rsidR="005A2A37" w:rsidRDefault="005A2A37" w:rsidP="00441A16">
            <w:pPr>
              <w:pStyle w:val="ConsPlusNormal"/>
              <w:jc w:val="center"/>
              <w:outlineLvl w:val="2"/>
            </w:pPr>
            <w:r>
              <w:lastRenderedPageBreak/>
              <w:t>2. Жилые помещения в сельских населенных пунктах</w:t>
            </w:r>
          </w:p>
        </w:tc>
      </w:tr>
      <w:tr w:rsidR="005A2A37" w:rsidTr="005A2A37">
        <w:tc>
          <w:tcPr>
            <w:tcW w:w="1497" w:type="pct"/>
          </w:tcPr>
          <w:p w:rsidR="005A2A37" w:rsidRDefault="005A2A37" w:rsidP="00441A16">
            <w:pPr>
              <w:pStyle w:val="ConsPlusNormal"/>
            </w:pPr>
            <w: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89" w:type="pct"/>
          </w:tcPr>
          <w:p w:rsidR="005A2A37" w:rsidRDefault="005A2A37" w:rsidP="00441A16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670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26" w:type="pct"/>
          </w:tcPr>
          <w:p w:rsidR="005A2A37" w:rsidRDefault="005A2A37" w:rsidP="00441A16">
            <w:pPr>
              <w:pStyle w:val="ConsPlusNormal"/>
            </w:pPr>
          </w:p>
        </w:tc>
      </w:tr>
      <w:tr w:rsidR="005A2A37" w:rsidTr="005A2A37">
        <w:tc>
          <w:tcPr>
            <w:tcW w:w="1497" w:type="pct"/>
          </w:tcPr>
          <w:p w:rsidR="005A2A37" w:rsidRDefault="005A2A37" w:rsidP="00441A16">
            <w:pPr>
              <w:pStyle w:val="ConsPlusNormal"/>
            </w:pPr>
            <w: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</w:t>
            </w:r>
          </w:p>
        </w:tc>
        <w:tc>
          <w:tcPr>
            <w:tcW w:w="689" w:type="pct"/>
          </w:tcPr>
          <w:p w:rsidR="005A2A37" w:rsidRDefault="005A2A37" w:rsidP="00441A16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670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26" w:type="pct"/>
          </w:tcPr>
          <w:p w:rsidR="005A2A37" w:rsidRDefault="005A2A37" w:rsidP="00441A16">
            <w:pPr>
              <w:pStyle w:val="ConsPlusNormal"/>
            </w:pPr>
          </w:p>
        </w:tc>
      </w:tr>
      <w:tr w:rsidR="005A2A37" w:rsidTr="005A2A37">
        <w:tc>
          <w:tcPr>
            <w:tcW w:w="1497" w:type="pct"/>
          </w:tcPr>
          <w:p w:rsidR="005A2A37" w:rsidRDefault="005A2A37" w:rsidP="00441A16">
            <w:pPr>
              <w:pStyle w:val="ConsPlusNormal"/>
            </w:pPr>
            <w:r>
              <w:t xml:space="preserve"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</w:t>
            </w:r>
            <w:r>
              <w:lastRenderedPageBreak/>
              <w:t>горячего водоснабжения</w:t>
            </w:r>
          </w:p>
        </w:tc>
        <w:tc>
          <w:tcPr>
            <w:tcW w:w="689" w:type="pct"/>
          </w:tcPr>
          <w:p w:rsidR="005A2A37" w:rsidRDefault="005A2A37" w:rsidP="00441A16">
            <w:pPr>
              <w:pStyle w:val="ConsPlusNormal"/>
            </w:pPr>
            <w:proofErr w:type="spellStart"/>
            <w:r>
              <w:lastRenderedPageBreak/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670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26" w:type="pct"/>
          </w:tcPr>
          <w:p w:rsidR="005A2A37" w:rsidRDefault="005A2A37" w:rsidP="00441A16">
            <w:pPr>
              <w:pStyle w:val="ConsPlusNormal"/>
            </w:pPr>
          </w:p>
        </w:tc>
      </w:tr>
      <w:tr w:rsidR="005A2A37" w:rsidTr="005A2A37">
        <w:tc>
          <w:tcPr>
            <w:tcW w:w="1497" w:type="pct"/>
          </w:tcPr>
          <w:p w:rsidR="005A2A37" w:rsidRDefault="005A2A37" w:rsidP="00441A16">
            <w:pPr>
              <w:pStyle w:val="ConsPlusNormal"/>
            </w:pPr>
            <w:r>
              <w:lastRenderedPageBreak/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</w:t>
            </w:r>
          </w:p>
        </w:tc>
        <w:tc>
          <w:tcPr>
            <w:tcW w:w="689" w:type="pct"/>
          </w:tcPr>
          <w:p w:rsidR="005A2A37" w:rsidRDefault="005A2A37" w:rsidP="00441A16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670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26" w:type="pct"/>
          </w:tcPr>
          <w:p w:rsidR="005A2A37" w:rsidRDefault="005A2A37" w:rsidP="00441A16">
            <w:pPr>
              <w:pStyle w:val="ConsPlusNormal"/>
            </w:pPr>
          </w:p>
        </w:tc>
      </w:tr>
      <w:tr w:rsidR="005A2A37" w:rsidTr="005A2A37">
        <w:tc>
          <w:tcPr>
            <w:tcW w:w="1497" w:type="pct"/>
          </w:tcPr>
          <w:p w:rsidR="005A2A37" w:rsidRDefault="005A2A37" w:rsidP="00441A16">
            <w:pPr>
              <w:pStyle w:val="ConsPlusNormal"/>
            </w:pPr>
            <w:r>
              <w:t xml:space="preserve"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 </w:t>
            </w:r>
            <w:r>
              <w:rPr/>
              <w:t>&lt;3&gt;</w:t>
            </w:r>
          </w:p>
        </w:tc>
        <w:tc>
          <w:tcPr>
            <w:tcW w:w="689" w:type="pct"/>
          </w:tcPr>
          <w:p w:rsidR="005A2A37" w:rsidRDefault="005A2A37" w:rsidP="00441A16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670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26" w:type="pct"/>
          </w:tcPr>
          <w:p w:rsidR="005A2A37" w:rsidRDefault="005A2A37" w:rsidP="00441A16">
            <w:pPr>
              <w:pStyle w:val="ConsPlusNormal"/>
            </w:pPr>
          </w:p>
        </w:tc>
      </w:tr>
      <w:tr w:rsidR="005A2A37" w:rsidTr="005A2A37">
        <w:tc>
          <w:tcPr>
            <w:tcW w:w="1497" w:type="pct"/>
          </w:tcPr>
          <w:p w:rsidR="005A2A37" w:rsidRDefault="005A2A37" w:rsidP="00441A16">
            <w:pPr>
              <w:pStyle w:val="ConsPlusNormal"/>
            </w:pPr>
            <w:r>
              <w:t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689" w:type="pct"/>
          </w:tcPr>
          <w:p w:rsidR="005A2A37" w:rsidRDefault="005A2A37" w:rsidP="00441A16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39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670" w:type="pct"/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526" w:type="pct"/>
          </w:tcPr>
          <w:p w:rsidR="005A2A37" w:rsidRDefault="005A2A37" w:rsidP="00441A16">
            <w:pPr>
              <w:pStyle w:val="ConsPlusNormal"/>
            </w:pPr>
          </w:p>
        </w:tc>
      </w:tr>
      <w:tr w:rsidR="005A2A37" w:rsidTr="005A2A37">
        <w:tc>
          <w:tcPr>
            <w:tcW w:w="5000" w:type="pct"/>
            <w:gridSpan w:val="7"/>
          </w:tcPr>
          <w:p w:rsidR="005A2A37" w:rsidRDefault="005A2A37" w:rsidP="00441A16">
            <w:pPr>
              <w:pStyle w:val="ConsPlusNormal"/>
              <w:jc w:val="center"/>
              <w:outlineLvl w:val="2"/>
            </w:pPr>
            <w:r>
              <w:t>3. Категории потребителей, приравненные к населению</w:t>
            </w:r>
          </w:p>
        </w:tc>
      </w:tr>
      <w:tr w:rsidR="005A2A37" w:rsidTr="005A2A37">
        <w:tc>
          <w:tcPr>
            <w:tcW w:w="1497" w:type="pct"/>
          </w:tcPr>
          <w:p w:rsidR="005A2A37" w:rsidRDefault="005A2A37" w:rsidP="00441A16">
            <w:pPr>
              <w:pStyle w:val="ConsPlusNormal"/>
            </w:pPr>
            <w:r>
              <w:t xml:space="preserve">Садоводческие или огороднические некоммерческие товарищества </w:t>
            </w:r>
            <w:r>
              <w:rPr/>
              <w:t>&lt;4&gt;</w:t>
            </w:r>
          </w:p>
        </w:tc>
        <w:tc>
          <w:tcPr>
            <w:tcW w:w="689" w:type="pct"/>
          </w:tcPr>
          <w:p w:rsidR="005A2A37" w:rsidRDefault="005A2A37" w:rsidP="00441A16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1 земельный участок, расположенный в границах территории </w:t>
            </w:r>
            <w:r>
              <w:lastRenderedPageBreak/>
              <w:t>садоводства или огородничества</w:t>
            </w:r>
          </w:p>
        </w:tc>
        <w:tc>
          <w:tcPr>
            <w:tcW w:w="2814" w:type="pct"/>
            <w:gridSpan w:val="5"/>
          </w:tcPr>
          <w:p w:rsidR="005A2A37" w:rsidRDefault="005A2A37" w:rsidP="00441A16">
            <w:pPr>
              <w:pStyle w:val="ConsPlusNormal"/>
            </w:pPr>
          </w:p>
        </w:tc>
      </w:tr>
      <w:tr w:rsidR="005A2A37" w:rsidTr="005A2A37">
        <w:tc>
          <w:tcPr>
            <w:tcW w:w="1497" w:type="pct"/>
          </w:tcPr>
          <w:p w:rsidR="005A2A37" w:rsidRDefault="005A2A37" w:rsidP="00441A16">
            <w:pPr>
              <w:pStyle w:val="ConsPlusNormal"/>
            </w:pPr>
            <w:r>
              <w:lastRenderedPageBreak/>
              <w:t>Содержащиеся за счет прихожан религиозные организации, в том числе в объемах, связанных с проживанием граждан на территории таких религиозных организаций</w:t>
            </w:r>
          </w:p>
        </w:tc>
        <w:tc>
          <w:tcPr>
            <w:tcW w:w="689" w:type="pct"/>
          </w:tcPr>
          <w:p w:rsidR="005A2A37" w:rsidRDefault="005A2A37" w:rsidP="00441A16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организацию и </w:t>
            </w:r>
            <w:proofErr w:type="spellStart"/>
            <w:r>
              <w:t>кВт·ч</w:t>
            </w:r>
            <w:proofErr w:type="spellEnd"/>
            <w:r>
              <w:t xml:space="preserve"> в месяц на 1 человека</w:t>
            </w:r>
          </w:p>
        </w:tc>
        <w:tc>
          <w:tcPr>
            <w:tcW w:w="2814" w:type="pct"/>
            <w:gridSpan w:val="5"/>
          </w:tcPr>
          <w:p w:rsidR="005A2A37" w:rsidRDefault="005A2A37" w:rsidP="00441A16">
            <w:pPr>
              <w:pStyle w:val="ConsPlusNormal"/>
            </w:pPr>
          </w:p>
        </w:tc>
      </w:tr>
      <w:tr w:rsidR="005A2A37" w:rsidTr="005A2A37">
        <w:tc>
          <w:tcPr>
            <w:tcW w:w="1497" w:type="pct"/>
          </w:tcPr>
          <w:p w:rsidR="005A2A37" w:rsidRDefault="005A2A37" w:rsidP="00441A16">
            <w:pPr>
              <w:pStyle w:val="ConsPlusNormal"/>
            </w:pPr>
            <w:r>
              <w:t xml:space="preserve">Физические лица, владеющие гаражами, хозяйственными постройками (погребами, сараями и иными сооружениями аналогичного назначения) </w:t>
            </w:r>
            <w:r>
              <w:rPr/>
              <w:t>&lt;5&gt;</w:t>
            </w:r>
          </w:p>
        </w:tc>
        <w:tc>
          <w:tcPr>
            <w:tcW w:w="689" w:type="pct"/>
          </w:tcPr>
          <w:p w:rsidR="005A2A37" w:rsidRDefault="005A2A37" w:rsidP="00441A16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гараж или постройку</w:t>
            </w:r>
          </w:p>
        </w:tc>
        <w:tc>
          <w:tcPr>
            <w:tcW w:w="2814" w:type="pct"/>
            <w:gridSpan w:val="5"/>
          </w:tcPr>
          <w:p w:rsidR="005A2A37" w:rsidRDefault="005A2A37" w:rsidP="00441A16">
            <w:pPr>
              <w:pStyle w:val="ConsPlusNormal"/>
            </w:pPr>
          </w:p>
        </w:tc>
      </w:tr>
      <w:tr w:rsidR="005A2A37" w:rsidTr="005A2A37">
        <w:tc>
          <w:tcPr>
            <w:tcW w:w="1497" w:type="pct"/>
          </w:tcPr>
          <w:p w:rsidR="005A2A37" w:rsidRDefault="005A2A37" w:rsidP="00441A16">
            <w:pPr>
              <w:pStyle w:val="ConsPlusNormal"/>
            </w:pPr>
            <w:r>
              <w:t xml:space="preserve">Юридические лица в части приобретаемого объема электрической энергии (мощности) в целях потребления осужденными в помещениях для их содержания </w:t>
            </w:r>
            <w:r>
              <w:rPr/>
              <w:t>&lt;5&gt;</w:t>
            </w:r>
          </w:p>
        </w:tc>
        <w:tc>
          <w:tcPr>
            <w:tcW w:w="689" w:type="pct"/>
          </w:tcPr>
          <w:p w:rsidR="005A2A37" w:rsidRDefault="005A2A37" w:rsidP="00441A16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осужденного</w:t>
            </w:r>
          </w:p>
        </w:tc>
        <w:tc>
          <w:tcPr>
            <w:tcW w:w="2814" w:type="pct"/>
            <w:gridSpan w:val="5"/>
          </w:tcPr>
          <w:p w:rsidR="005A2A37" w:rsidRDefault="005A2A37" w:rsidP="00441A16">
            <w:pPr>
              <w:pStyle w:val="ConsPlusNormal"/>
            </w:pPr>
          </w:p>
        </w:tc>
      </w:tr>
      <w:tr w:rsidR="005A2A37" w:rsidTr="005A2A37">
        <w:tc>
          <w:tcPr>
            <w:tcW w:w="1497" w:type="pct"/>
            <w:tcBorders>
              <w:bottom w:val="single" w:sz="4" w:space="0" w:color="auto"/>
            </w:tcBorders>
          </w:tcPr>
          <w:p w:rsidR="005A2A37" w:rsidRDefault="005A2A37" w:rsidP="00441A16">
            <w:pPr>
              <w:pStyle w:val="ConsPlusNormal"/>
            </w:pPr>
            <w:r>
              <w:t>Жилые помещения специализированного жилищного фонда, в которых проживают граждане, не объединенные совместным ведением хозяйства (шестая группа домохозяйств)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A2A37" w:rsidRDefault="005A2A37" w:rsidP="00441A16">
            <w:pPr>
              <w:pStyle w:val="ConsPlusNormal"/>
            </w:pPr>
          </w:p>
        </w:tc>
        <w:tc>
          <w:tcPr>
            <w:tcW w:w="2814" w:type="pct"/>
            <w:gridSpan w:val="5"/>
            <w:tcBorders>
              <w:bottom w:val="single" w:sz="4" w:space="0" w:color="auto"/>
            </w:tcBorders>
          </w:tcPr>
          <w:p w:rsidR="005A2A37" w:rsidRDefault="005A2A37" w:rsidP="00441A16">
            <w:pPr>
              <w:pStyle w:val="ConsPlusNormal"/>
            </w:pPr>
          </w:p>
        </w:tc>
      </w:tr>
    </w:tbl>
    <w:p w:rsidR="005A2A37" w:rsidRDefault="005A2A37" w:rsidP="005A2A37">
      <w:pPr>
        <w:pStyle w:val="ConsPlusNormal"/>
        <w:jc w:val="center"/>
      </w:pPr>
    </w:p>
    <w:p w:rsidR="005A2A37" w:rsidRDefault="005A2A37" w:rsidP="005A2A37">
      <w:pPr>
        <w:pStyle w:val="ConsPlusNormal"/>
        <w:ind w:firstLine="540"/>
        <w:jc w:val="both"/>
      </w:pPr>
    </w:p>
    <w:p w:rsidR="005A2A37" w:rsidRDefault="005A2A37" w:rsidP="005A2A37">
      <w:pPr>
        <w:pStyle w:val="ConsPlusNormal"/>
        <w:ind w:firstLine="540"/>
        <w:jc w:val="both"/>
      </w:pPr>
      <w:r>
        <w:t>--------------------------------</w:t>
      </w:r>
    </w:p>
    <w:p w:rsidR="005A2A37" w:rsidRDefault="005A2A37" w:rsidP="005A2A37">
      <w:pPr>
        <w:pStyle w:val="ConsPlusNormal"/>
        <w:spacing w:before="240"/>
        <w:ind w:firstLine="540"/>
        <w:jc w:val="both"/>
      </w:pPr>
      <w:bookmarkStart w:id="2" w:name="Par662"/>
      <w:bookmarkEnd w:id="2"/>
      <w:proofErr w:type="gramStart"/>
      <w:r>
        <w:t xml:space="preserve">&lt;1&gt; В зависимости от оборудования жилых помещений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 настоящая форма по решению уполномоченного органа государственной власти субъекта Российской Федерации может быть расширена в случаях, предусмотренных </w:t>
      </w:r>
      <w:r>
        <w:rPr/>
        <w:t>пунктом 11</w:t>
      </w:r>
      <w:r>
        <w:t xml:space="preserve"> приложения N 4 к Положению об установлении и применении социальной нормы потребления электрической энергии (мощности).</w:t>
      </w:r>
      <w:proofErr w:type="gramEnd"/>
    </w:p>
    <w:p w:rsidR="005A2A37" w:rsidRDefault="005A2A37" w:rsidP="005A2A37">
      <w:pPr>
        <w:pStyle w:val="ConsPlusNormal"/>
        <w:spacing w:before="240"/>
        <w:ind w:firstLine="540"/>
        <w:jc w:val="both"/>
      </w:pPr>
      <w:bookmarkStart w:id="3" w:name="Par663"/>
      <w:bookmarkEnd w:id="3"/>
      <w:r>
        <w:lastRenderedPageBreak/>
        <w:t>&lt;2</w:t>
      </w:r>
      <w:proofErr w:type="gramStart"/>
      <w:r>
        <w:t>&gt; Д</w:t>
      </w:r>
      <w:proofErr w:type="gramEnd"/>
      <w:r>
        <w:t xml:space="preserve">ля каждой группы домохозяйств указывается отдельно в отношении потребителей, получающих пенсию по старости и (или) инвалидности, и иных потребителей. </w:t>
      </w:r>
      <w:proofErr w:type="gramStart"/>
      <w:r>
        <w:t xml:space="preserve">При этом для потребителей, получающих пенсию по старости и (или) инвалидности, величина социальной нормы потребления электрической энергии (мощности) устанавливается со 2-го года применения социальной нормы потребления электрической энергии (мощности) в субъекте Российской Федерации в соответствии с </w:t>
      </w:r>
      <w:r>
        <w:rPr/>
        <w:t>Положением</w:t>
      </w:r>
      <w:r>
        <w:t xml:space="preserve"> об установлении и применении социальной нормы потребления электрической энергии (мощности) с применением повышающего коэффициента 1,5 к величине социальной нормы потребления электрической энергии (мощности</w:t>
      </w:r>
      <w:proofErr w:type="gramEnd"/>
      <w:r>
        <w:t xml:space="preserve">), определенной в соответствии с </w:t>
      </w:r>
      <w:r>
        <w:rPr/>
        <w:t>приложением N 4</w:t>
      </w:r>
      <w:r>
        <w:t xml:space="preserve"> к Положению об установлении и применении социальной нормы потребления электрической энергии (мощности).</w:t>
      </w:r>
    </w:p>
    <w:p w:rsidR="005A2A37" w:rsidRDefault="005A2A37" w:rsidP="005A2A37">
      <w:pPr>
        <w:pStyle w:val="ConsPlusNormal"/>
        <w:spacing w:before="240"/>
        <w:ind w:firstLine="540"/>
        <w:jc w:val="both"/>
      </w:pPr>
      <w:bookmarkStart w:id="4" w:name="Par664"/>
      <w:bookmarkEnd w:id="4"/>
      <w:r>
        <w:t>&lt;3</w:t>
      </w:r>
      <w:proofErr w:type="gramStart"/>
      <w:r>
        <w:t>&gt; П</w:t>
      </w:r>
      <w:proofErr w:type="gramEnd"/>
      <w:r>
        <w:t>рименяется в сроки, определяющие начало и окончание отопительного периода в соответствии с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5A2A37" w:rsidRDefault="005A2A37" w:rsidP="005A2A37">
      <w:pPr>
        <w:pStyle w:val="ConsPlusNormal"/>
        <w:spacing w:before="240"/>
        <w:ind w:firstLine="540"/>
        <w:jc w:val="both"/>
      </w:pPr>
      <w:bookmarkStart w:id="5" w:name="Par665"/>
      <w:bookmarkEnd w:id="5"/>
      <w:r>
        <w:t>&lt;4</w:t>
      </w:r>
      <w:proofErr w:type="gramStart"/>
      <w:r>
        <w:t>&gt; В</w:t>
      </w:r>
      <w:proofErr w:type="gramEnd"/>
      <w:r>
        <w:t xml:space="preserve"> случае если на садовом земельном участке, расположенном в границах территории садоводства или огородничества, расположен жилой дом, в котором зарегистрированы граждане, - принимается равной социальной норме потребления электрической энергии (мощности) для соответствующей группы домохозяйств (с первой группы по пятую).</w:t>
      </w:r>
    </w:p>
    <w:p w:rsidR="005A2A37" w:rsidRDefault="005A2A37" w:rsidP="005A2A37">
      <w:pPr>
        <w:pStyle w:val="ConsPlusNormal"/>
        <w:spacing w:before="240"/>
        <w:ind w:firstLine="540"/>
        <w:jc w:val="both"/>
      </w:pPr>
      <w:bookmarkStart w:id="6" w:name="Par666"/>
      <w:bookmarkEnd w:id="6"/>
      <w:r>
        <w:t>&lt;5</w:t>
      </w:r>
      <w:proofErr w:type="gramStart"/>
      <w:r>
        <w:t>&gt; В</w:t>
      </w:r>
      <w:proofErr w:type="gramEnd"/>
      <w:r>
        <w:t xml:space="preserve"> части приобретаемого объема электрической энергии в целях потребления на коммунально-бытовые нужды при условии наличия раздельного учета для указанных помещений.</w:t>
      </w:r>
    </w:p>
    <w:p w:rsidR="005A2A37" w:rsidRDefault="005A2A37" w:rsidP="005A2A37">
      <w:pPr>
        <w:pStyle w:val="ConsPlusNormal"/>
        <w:ind w:firstLine="540"/>
        <w:jc w:val="both"/>
      </w:pPr>
    </w:p>
    <w:p w:rsidR="005A2A37" w:rsidRDefault="005A2A37" w:rsidP="005A2A37">
      <w:pPr>
        <w:pStyle w:val="ConsPlusNormal"/>
        <w:jc w:val="center"/>
      </w:pPr>
    </w:p>
    <w:p w:rsidR="00886B35" w:rsidRDefault="00886B35"/>
    <w:sectPr w:rsidR="00886B35" w:rsidSect="005A2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37"/>
    <w:rsid w:val="005A2A37"/>
    <w:rsid w:val="008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1437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2019-01-24T14:49:00Z</dcterms:created>
  <dcterms:modified xsi:type="dcterms:W3CDTF">2019-01-24T14:58:00Z</dcterms:modified>
</cp:coreProperties>
</file>